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jc w:val="center"/>
      </w:pPr>
      <w:r>
        <w:rPr>
          <w:rFonts w:ascii="Calibri" w:cs="Calibri" w:eastAsia="Calibri" w:hAnsi="Calibri"/>
          <w:b/>
          <w:bCs/>
          <w:i w:val="false"/>
          <w:iCs w:val="false"/>
          <w:color w:val="0B6F66"/>
          <w:sz w:val="40"/>
          <w:szCs w:val="40"/>
        </w:rPr>
        <w:t xml:space="preserve">AI Usage Policy</w:t>
      </w:r>
    </w:p>
    <w:p>
      <w:pPr>
        <w:spacing w:after="240" w:before="0"/>
        <w:jc w:val="center"/>
      </w:pPr>
      <w:r>
        <w:rPr>
          <w:rFonts w:ascii="Calibri" w:cs="Calibri" w:eastAsia="Calibri" w:hAnsi="Calibri"/>
          <w:b w:val="false"/>
          <w:bCs w:val="false"/>
          <w:i/>
          <w:iCs/>
          <w:color w:val="666666"/>
          <w:sz w:val="22"/>
          <w:szCs w:val="22"/>
        </w:rPr>
        <w:t xml:space="preserve">A ready-to-adopt AI policy for small and mid-sized businesses</w:t>
      </w:r>
    </w:p>
    <w:tbl>
      <w:tblPr>
        <w:tblW w:type="dxa" w:w="10080"/>
        <w:tblBorders>
          <w:top w:val="single" w:color="C9D6D4" w:sz="4"/>
          <w:left w:val="single" w:color="C9D6D4" w:sz="4"/>
          <w:bottom w:val="single" w:color="C9D6D4" w:sz="4"/>
          <w:right w:val="single" w:color="C9D6D4" w:sz="4"/>
          <w:insideH w:val="single" w:color="C9D6D4" w:sz="4"/>
          <w:insideV w:val="single" w:color="C9D6D4" w:sz="4"/>
        </w:tblBorders>
      </w:tblPr>
      <w:tblGrid>
        <w:gridCol w:w="2600"/>
        <w:gridCol w:w="7480"/>
      </w:tblGrid>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Document</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AI Usage Policy</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Version</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2.0 — replaces v1.0 (Sep 2025)</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Issued</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July 2026</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Policy owner</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[Insert name / role — e.g. Operations Director]</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Approved by</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[Insert name / role]     Date: __________________</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Applies to</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All employees, contractors and third-party vendors</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0B6F66"/>
                <w:sz w:val="19"/>
                <w:szCs w:val="19"/>
              </w:rPr>
              <w:t xml:space="preserve">Next review</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[Insert date — we recommend every 12 months, or sooner if the law changes]</w:t>
            </w:r>
          </w:p>
        </w:tc>
      </w:tr>
    </w:tbl>
    <w:tbl>
      <w:tblPr>
        <w:tblW w:type="dxa" w:w="10080"/>
        <w:tblBorders>
          <w:top w:val="single" w:color="0F9B8E" w:sz="4"/>
          <w:left w:val="single" w:color="0F9B8E" w:sz="18"/>
          <w:bottom w:val="single" w:color="0F9B8E" w:sz="4"/>
          <w:right w:val="single" w:color="0F9B8E" w:sz="4"/>
          <w:insideH w:val="none" w:color="FFFFFF" w:sz="0"/>
          <w:insideV w:val="none" w:color="FFFFFF" w:sz="0"/>
        </w:tblBorders>
      </w:tblPr>
      <w:tblGrid>
        <w:gridCol w:w="10080"/>
      </w:tblGrid>
      <w:tr>
        <w:tc>
          <w:tcPr>
            <w:tcW w:type="dxa" w:w="10080"/>
            <w:shd w:fill="E8F6F4" w:color="auto" w:val="clear"/>
            <w:tcMar>
              <w:top w:type="dxa" w:w="160"/>
              <w:left w:type="dxa" w:w="200"/>
              <w:bottom w:type="dxa" w:w="160"/>
              <w:right w:type="dxa" w:w="200"/>
            </w:tcMar>
          </w:tcPr>
          <w:p>
            <w:pPr>
              <w:spacing w:after="100" w:before="0" w:line="260"/>
            </w:pPr>
            <w:r>
              <w:rPr>
                <w:rFonts w:ascii="Calibri" w:cs="Calibri" w:eastAsia="Calibri" w:hAnsi="Calibri"/>
                <w:b/>
                <w:bCs/>
                <w:i w:val="false"/>
                <w:iCs w:val="false"/>
                <w:color w:val="0B6F66"/>
                <w:sz w:val="22"/>
                <w:szCs w:val="22"/>
              </w:rPr>
              <w:t xml:space="preserve">How to use this template</w:t>
            </w:r>
          </w:p>
          <w:p>
            <w:pPr>
              <w:spacing w:after="80" w:before="0" w:line="260"/>
            </w:pPr>
            <w:r>
              <w:rPr>
                <w:rFonts w:ascii="Calibri" w:cs="Calibri" w:eastAsia="Calibri" w:hAnsi="Calibri"/>
                <w:b w:val="false"/>
                <w:bCs w:val="false"/>
                <w:i w:val="false"/>
                <w:iCs w:val="false"/>
                <w:color w:val="1F2933"/>
                <w:sz w:val="19"/>
                <w:szCs w:val="19"/>
              </w:rPr>
              <w:t xml:space="preserve">This is a working template, not a finished policy. Replace every [square-bracketed] field with your own details, delete anything that does not apply to your business, then have it approved by a director and shared with all staff.</w:t>
            </w:r>
          </w:p>
          <w:p>
            <w:pPr>
              <w:spacing w:after="80" w:before="0" w:line="260"/>
            </w:pPr>
            <w:r>
              <w:rPr>
                <w:rFonts w:ascii="Calibri" w:cs="Calibri" w:eastAsia="Calibri" w:hAnsi="Calibri"/>
                <w:b w:val="false"/>
                <w:bCs w:val="false"/>
                <w:i w:val="false"/>
                <w:iCs w:val="false"/>
                <w:color w:val="1F2933"/>
                <w:sz w:val="19"/>
                <w:szCs w:val="19"/>
              </w:rPr>
              <w:t xml:space="preserve">Sections 1–8 are the policy itself. Section 9 explains what changed in 2026 and Section 10 lists the frameworks referenced.</w:t>
            </w:r>
          </w:p>
          <w:p>
            <w:pPr>
              <w:spacing w:after="80" w:before="0" w:line="260"/>
            </w:pPr>
            <w:r>
              <w:rPr>
                <w:rFonts w:ascii="Calibri" w:cs="Calibri" w:eastAsia="Calibri" w:hAnsi="Calibri"/>
                <w:b w:val="false"/>
                <w:bCs w:val="false"/>
                <w:i w:val="false"/>
                <w:iCs w:val="false"/>
                <w:color w:val="1F2933"/>
                <w:sz w:val="19"/>
                <w:szCs w:val="19"/>
              </w:rPr>
              <w:t xml:space="preserve">Practical tip: most SMEs can adopt this in an afternoon. Fill in the owner, approve it, circulate it, and book the review date in the calendar now.</w:t>
            </w:r>
          </w:p>
        </w:tc>
      </w:tr>
    </w:tbl>
    <w:p>
      <w:pPr>
        <w:pBdr>
          <w:bottom w:val="single" w:color="0F9B8E" w:sz="6" w:space="4"/>
        </w:pBdr>
        <w:spacing w:after="140" w:before="320"/>
      </w:pPr>
      <w:r>
        <w:rPr>
          <w:rFonts w:ascii="Calibri" w:cs="Calibri" w:eastAsia="Calibri" w:hAnsi="Calibri"/>
          <w:b/>
          <w:bCs/>
          <w:i w:val="false"/>
          <w:iCs w:val="false"/>
          <w:color w:val="0B6F66"/>
          <w:sz w:val="26"/>
          <w:szCs w:val="26"/>
        </w:rPr>
        <w:t xml:space="preserve">1.  Purpose</w:t>
      </w:r>
    </w:p>
    <w:p>
      <w:pPr>
        <w:spacing w:after="100" w:before="0" w:line="260"/>
      </w:pPr>
      <w:r>
        <w:rPr>
          <w:rFonts w:ascii="Calibri" w:cs="Calibri" w:eastAsia="Calibri" w:hAnsi="Calibri"/>
          <w:b w:val="false"/>
          <w:bCs w:val="false"/>
          <w:i w:val="false"/>
          <w:iCs w:val="false"/>
          <w:color w:val="1F2933"/>
          <w:sz w:val="20"/>
          <w:szCs w:val="20"/>
        </w:rPr>
        <w:t xml:space="preserve">This policy sets out how [Company Name] uses Artificial Intelligence (AI) safely, ethically and lawfully. It protects our data, our customers and our reputation, and gives staff clear rules on what is and is not acceptable.</w:t>
      </w:r>
    </w:p>
    <w:p>
      <w:pPr>
        <w:spacing w:after="100" w:before="0" w:line="260"/>
      </w:pPr>
      <w:r>
        <w:rPr>
          <w:rFonts w:ascii="Calibri" w:cs="Calibri" w:eastAsia="Calibri" w:hAnsi="Calibri"/>
          <w:b w:val="false"/>
          <w:bCs w:val="false"/>
          <w:i w:val="false"/>
          <w:iCs w:val="false"/>
          <w:color w:val="1F2933"/>
          <w:sz w:val="20"/>
          <w:szCs w:val="20"/>
        </w:rPr>
        <w:t xml:space="preserve">It is designed to align with the recognised frameworks and laws listed in Section 10, including ISO/IEC 42001, the NIST AI Risk Management Framework, the EU AI Act and data protection law.</w:t>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2.  Scope</w:t>
      </w:r>
    </w:p>
    <w:p>
      <w:pPr>
        <w:spacing w:after="100" w:before="0" w:line="260"/>
      </w:pPr>
      <w:r>
        <w:rPr>
          <w:rFonts w:ascii="Calibri" w:cs="Calibri" w:eastAsia="Calibri" w:hAnsi="Calibri"/>
          <w:b w:val="false"/>
          <w:bCs w:val="false"/>
          <w:i w:val="false"/>
          <w:iCs w:val="false"/>
          <w:color w:val="1F2933"/>
          <w:sz w:val="20"/>
          <w:szCs w:val="20"/>
        </w:rPr>
        <w:t xml:space="preserve">This policy applies to:</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All employees, directors, contractors, temporary staff and volunteers.</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Any third-party vendor that uses, supplies or manages AI on our behalf.</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All AI tools — whether paid, free, standalone, or built into software we already use (for example AI features inside office, sales or accounting tools).</w:t>
      </w:r>
    </w:p>
    <w:p>
      <w:pPr>
        <w:spacing w:after="100" w:before="0" w:line="260"/>
      </w:pPr>
      <w:r>
        <w:rPr>
          <w:rFonts w:ascii="Calibri" w:cs="Calibri" w:eastAsia="Calibri" w:hAnsi="Calibri"/>
          <w:b w:val="false"/>
          <w:bCs w:val="false"/>
          <w:i/>
          <w:iCs/>
          <w:color w:val="1F2933"/>
          <w:sz w:val="20"/>
          <w:szCs w:val="20"/>
        </w:rPr>
        <w:t xml:space="preserve">If you are unsure whether something counts as AI, assume it does and ask the policy owner.</w:t>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3.  Key terms</w:t>
      </w:r>
    </w:p>
    <w:tbl>
      <w:tblPr>
        <w:tblW w:type="dxa" w:w="10080"/>
        <w:tblBorders>
          <w:top w:val="single" w:color="C9D6D4" w:sz="4"/>
          <w:left w:val="single" w:color="C9D6D4" w:sz="4"/>
          <w:bottom w:val="single" w:color="C9D6D4" w:sz="4"/>
          <w:right w:val="single" w:color="C9D6D4" w:sz="4"/>
          <w:insideH w:val="single" w:color="C9D6D4" w:sz="4"/>
          <w:insideV w:val="single" w:color="C9D6D4" w:sz="4"/>
        </w:tblBorders>
      </w:tblPr>
      <w:tblGrid>
        <w:gridCol w:w="2400"/>
        <w:gridCol w:w="7680"/>
      </w:tblGrid>
      <w:tr>
        <w:trPr>
          <w:tblHeader/>
        </w:trPr>
        <w:tc>
          <w:tcPr>
            <w:tcW w:type="dxa" w:w="2400"/>
            <w:shd w:fill="0F9B8E"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FFFFFF"/>
                <w:sz w:val="19"/>
                <w:szCs w:val="19"/>
              </w:rPr>
              <w:t xml:space="preserve">Term</w:t>
            </w:r>
          </w:p>
        </w:tc>
        <w:tc>
          <w:tcPr>
            <w:tcW w:type="dxa" w:w="7680"/>
            <w:shd w:fill="0F9B8E"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FFFFFF"/>
                <w:sz w:val="19"/>
                <w:szCs w:val="19"/>
              </w:rPr>
              <w:t xml:space="preserve">What it means in this policy</w:t>
            </w:r>
          </w:p>
        </w:tc>
      </w:tr>
      <w:tr>
        <w:tc>
          <w:tcPr>
            <w:tcW w:type="dxa" w:w="24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AI tool</w:t>
            </w:r>
          </w:p>
        </w:tc>
        <w:tc>
          <w:tcPr>
            <w:tcW w:type="dxa" w:w="76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Any software that generates content, makes predictions, scores, ranks or recommends — including chatbots and AI features inside other products.</w:t>
            </w:r>
          </w:p>
        </w:tc>
      </w:tr>
      <w:tr>
        <w:tc>
          <w:tcPr>
            <w:tcW w:type="dxa" w:w="24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Personal data</w:t>
            </w:r>
          </w:p>
        </w:tc>
        <w:tc>
          <w:tcPr>
            <w:tcW w:type="dxa" w:w="768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Any information that identifies a living person — customers, staff or suppliers.</w:t>
            </w:r>
          </w:p>
        </w:tc>
      </w:tr>
      <w:tr>
        <w:tc>
          <w:tcPr>
            <w:tcW w:type="dxa" w:w="24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High-risk use</w:t>
            </w:r>
          </w:p>
        </w:tc>
        <w:tc>
          <w:tcPr>
            <w:tcW w:type="dxa" w:w="76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Any AI use that materially affects a person, such as hiring, performance, credit, pricing, insurance, access to services, or health and safety.</w:t>
            </w:r>
          </w:p>
        </w:tc>
      </w:tr>
      <w:tr>
        <w:tc>
          <w:tcPr>
            <w:tcW w:type="dxa" w:w="24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Human in the loop</w:t>
            </w:r>
          </w:p>
        </w:tc>
        <w:tc>
          <w:tcPr>
            <w:tcW w:type="dxa" w:w="768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 named person reviews the AI output and takes responsibility for the final decision.</w:t>
            </w:r>
          </w:p>
        </w:tc>
      </w:tr>
      <w:tr>
        <w:tc>
          <w:tcPr>
            <w:tcW w:type="dxa" w:w="24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Provider / Deployer</w:t>
            </w:r>
          </w:p>
        </w:tc>
        <w:tc>
          <w:tcPr>
            <w:tcW w:type="dxa" w:w="76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Under the EU AI Act, a provider builds or supplies an AI system; a deployer uses one. Most SMEs are deployers.</w:t>
            </w:r>
          </w:p>
        </w:tc>
      </w:tr>
    </w:tbl>
    <w:p>
      <w:pPr>
        <w:pBdr>
          <w:bottom w:val="single" w:color="0F9B8E" w:sz="6" w:space="4"/>
        </w:pBdr>
        <w:spacing w:after="140" w:before="320"/>
      </w:pPr>
      <w:r>
        <w:rPr>
          <w:rFonts w:ascii="Calibri" w:cs="Calibri" w:eastAsia="Calibri" w:hAnsi="Calibri"/>
          <w:b/>
          <w:bCs/>
          <w:i w:val="false"/>
          <w:iCs w:val="false"/>
          <w:color w:val="0B6F66"/>
          <w:sz w:val="26"/>
          <w:szCs w:val="26"/>
        </w:rPr>
        <w:t xml:space="preserve">4.  Policy statements</w:t>
      </w:r>
    </w:p>
    <w:p>
      <w:pPr>
        <w:spacing w:after="100" w:before="220"/>
      </w:pPr>
      <w:r>
        <w:rPr>
          <w:rFonts w:ascii="Calibri" w:cs="Calibri" w:eastAsia="Calibri" w:hAnsi="Calibri"/>
          <w:b/>
          <w:bCs/>
          <w:i w:val="false"/>
          <w:iCs w:val="false"/>
          <w:color w:val="0B6F66"/>
          <w:sz w:val="22"/>
          <w:szCs w:val="22"/>
        </w:rPr>
        <w:t xml:space="preserve">4.1  Approved use</w:t>
      </w:r>
    </w:p>
    <w:p>
      <w:pPr>
        <w:spacing w:after="120" w:before="0" w:line="260"/>
        <w:ind w:left="340" w:hanging="340"/>
      </w:pPr>
      <w:r>
        <w:rPr>
          <w:rFonts w:ascii="Calibri" w:cs="Calibri" w:eastAsia="Calibri" w:hAnsi="Calibri"/>
          <w:b/>
          <w:bCs/>
          <w:i w:val="false"/>
          <w:iCs w:val="false"/>
          <w:color w:val="0B6F66"/>
          <w:sz w:val="20"/>
          <w:szCs w:val="20"/>
        </w:rPr>
        <w:t xml:space="preserve">4.1.1  </w:t>
      </w:r>
      <w:r>
        <w:rPr>
          <w:rFonts w:ascii="Calibri" w:cs="Calibri" w:eastAsia="Calibri" w:hAnsi="Calibri"/>
          <w:b/>
          <w:bCs/>
          <w:i w:val="false"/>
          <w:iCs w:val="false"/>
          <w:color w:val="1F2933"/>
          <w:sz w:val="20"/>
          <w:szCs w:val="20"/>
        </w:rPr>
        <w:t xml:space="preserve">Business purposes only. </w:t>
      </w:r>
      <w:r>
        <w:rPr>
          <w:rFonts w:ascii="Calibri" w:cs="Calibri" w:eastAsia="Calibri" w:hAnsi="Calibri"/>
          <w:b w:val="false"/>
          <w:bCs w:val="false"/>
          <w:i w:val="false"/>
          <w:iCs w:val="false"/>
          <w:color w:val="1F2933"/>
          <w:sz w:val="20"/>
          <w:szCs w:val="20"/>
        </w:rPr>
        <w:t xml:space="preserve">AI must only be used for approved business purposes, never for personal gain or unauthorised activities.</w:t>
      </w:r>
    </w:p>
    <w:p>
      <w:pPr>
        <w:spacing w:after="120" w:before="0" w:line="260"/>
        <w:ind w:left="340" w:hanging="340"/>
      </w:pPr>
      <w:r>
        <w:rPr>
          <w:rFonts w:ascii="Calibri" w:cs="Calibri" w:eastAsia="Calibri" w:hAnsi="Calibri"/>
          <w:b/>
          <w:bCs/>
          <w:i w:val="false"/>
          <w:iCs w:val="false"/>
          <w:color w:val="0B6F66"/>
          <w:sz w:val="20"/>
          <w:szCs w:val="20"/>
        </w:rPr>
        <w:t xml:space="preserve">4.1.2  </w:t>
      </w:r>
      <w:r>
        <w:rPr>
          <w:rFonts w:ascii="Calibri" w:cs="Calibri" w:eastAsia="Calibri" w:hAnsi="Calibri"/>
          <w:b/>
          <w:bCs/>
          <w:i w:val="false"/>
          <w:iCs w:val="false"/>
          <w:color w:val="1F2933"/>
          <w:sz w:val="20"/>
          <w:szCs w:val="20"/>
        </w:rPr>
        <w:t xml:space="preserve">Approved tools only. </w:t>
      </w:r>
      <w:r>
        <w:rPr>
          <w:rFonts w:ascii="Calibri" w:cs="Calibri" w:eastAsia="Calibri" w:hAnsi="Calibri"/>
          <w:b w:val="false"/>
          <w:bCs w:val="false"/>
          <w:i w:val="false"/>
          <w:iCs w:val="false"/>
          <w:color w:val="1F2933"/>
          <w:sz w:val="20"/>
          <w:szCs w:val="20"/>
        </w:rPr>
        <w:t xml:space="preserve">Only AI tools recorded on our AI Register may be used for company work. To request a new tool, contact the policy owner.</w:t>
      </w:r>
    </w:p>
    <w:p>
      <w:pPr>
        <w:spacing w:after="100" w:before="220"/>
      </w:pPr>
      <w:r>
        <w:rPr>
          <w:rFonts w:ascii="Calibri" w:cs="Calibri" w:eastAsia="Calibri" w:hAnsi="Calibri"/>
          <w:b/>
          <w:bCs/>
          <w:i w:val="false"/>
          <w:iCs w:val="false"/>
          <w:color w:val="0B6F66"/>
          <w:sz w:val="22"/>
          <w:szCs w:val="22"/>
        </w:rPr>
        <w:t xml:space="preserve">4.2  Data protection and confidentiality</w:t>
      </w:r>
    </w:p>
    <w:p>
      <w:pPr>
        <w:spacing w:after="120" w:before="0" w:line="260"/>
        <w:ind w:left="340" w:hanging="340"/>
      </w:pPr>
      <w:r>
        <w:rPr>
          <w:rFonts w:ascii="Calibri" w:cs="Calibri" w:eastAsia="Calibri" w:hAnsi="Calibri"/>
          <w:b/>
          <w:bCs/>
          <w:i w:val="false"/>
          <w:iCs w:val="false"/>
          <w:color w:val="0B6F66"/>
          <w:sz w:val="20"/>
          <w:szCs w:val="20"/>
        </w:rPr>
        <w:t xml:space="preserve">4.2.1  </w:t>
      </w:r>
      <w:r>
        <w:rPr>
          <w:rFonts w:ascii="Calibri" w:cs="Calibri" w:eastAsia="Calibri" w:hAnsi="Calibri"/>
          <w:b/>
          <w:bCs/>
          <w:i w:val="false"/>
          <w:iCs w:val="false"/>
          <w:color w:val="1F2933"/>
          <w:sz w:val="20"/>
          <w:szCs w:val="20"/>
        </w:rPr>
        <w:t xml:space="preserve">Handle data lawfully. </w:t>
      </w:r>
      <w:r>
        <w:rPr>
          <w:rFonts w:ascii="Calibri" w:cs="Calibri" w:eastAsia="Calibri" w:hAnsi="Calibri"/>
          <w:b w:val="false"/>
          <w:bCs w:val="false"/>
          <w:i w:val="false"/>
          <w:iCs w:val="false"/>
          <w:color w:val="1F2933"/>
          <w:sz w:val="20"/>
          <w:szCs w:val="20"/>
        </w:rPr>
        <w:t xml:space="preserve">Data used in AI tools must be accurate, relevant and handled in line with the GDPR, UK GDPR and other applicable privacy laws.</w:t>
      </w:r>
    </w:p>
    <w:p>
      <w:pPr>
        <w:spacing w:after="120" w:before="0" w:line="260"/>
        <w:ind w:left="340" w:hanging="340"/>
      </w:pPr>
      <w:r>
        <w:rPr>
          <w:rFonts w:ascii="Calibri" w:cs="Calibri" w:eastAsia="Calibri" w:hAnsi="Calibri"/>
          <w:b/>
          <w:bCs/>
          <w:i w:val="false"/>
          <w:iCs w:val="false"/>
          <w:color w:val="0B6F66"/>
          <w:sz w:val="20"/>
          <w:szCs w:val="20"/>
        </w:rPr>
        <w:t xml:space="preserve">4.2.2  </w:t>
      </w:r>
      <w:r>
        <w:rPr>
          <w:rFonts w:ascii="Calibri" w:cs="Calibri" w:eastAsia="Calibri" w:hAnsi="Calibri"/>
          <w:b/>
          <w:bCs/>
          <w:i w:val="false"/>
          <w:iCs w:val="false"/>
          <w:color w:val="1F2933"/>
          <w:sz w:val="20"/>
          <w:szCs w:val="20"/>
        </w:rPr>
        <w:t xml:space="preserve">Never paste confidential data into public tools. </w:t>
      </w:r>
      <w:r>
        <w:rPr>
          <w:rFonts w:ascii="Calibri" w:cs="Calibri" w:eastAsia="Calibri" w:hAnsi="Calibri"/>
          <w:b w:val="false"/>
          <w:bCs w:val="false"/>
          <w:i w:val="false"/>
          <w:iCs w:val="false"/>
          <w:color w:val="1F2933"/>
          <w:sz w:val="20"/>
          <w:szCs w:val="20"/>
        </w:rPr>
        <w:t xml:space="preserve">Sensitive, personal or confidential information must not be entered into public AI tools without anonymisation and prior approval.</w:t>
      </w:r>
    </w:p>
    <w:p>
      <w:pPr>
        <w:spacing w:after="120" w:before="0" w:line="260"/>
        <w:ind w:left="340" w:hanging="340"/>
      </w:pPr>
      <w:r>
        <w:rPr>
          <w:rFonts w:ascii="Calibri" w:cs="Calibri" w:eastAsia="Calibri" w:hAnsi="Calibri"/>
          <w:b/>
          <w:bCs/>
          <w:i w:val="false"/>
          <w:iCs w:val="false"/>
          <w:color w:val="0B6F66"/>
          <w:sz w:val="20"/>
          <w:szCs w:val="20"/>
        </w:rPr>
        <w:t xml:space="preserve">4.2.3  </w:t>
      </w:r>
      <w:r>
        <w:rPr>
          <w:rFonts w:ascii="Calibri" w:cs="Calibri" w:eastAsia="Calibri" w:hAnsi="Calibri"/>
          <w:b/>
          <w:bCs/>
          <w:i w:val="false"/>
          <w:iCs w:val="false"/>
          <w:color w:val="1F2933"/>
          <w:sz w:val="20"/>
          <w:szCs w:val="20"/>
        </w:rPr>
        <w:t xml:space="preserve">Check the training setting. </w:t>
      </w:r>
      <w:r>
        <w:rPr>
          <w:rFonts w:ascii="Calibri" w:cs="Calibri" w:eastAsia="Calibri" w:hAnsi="Calibri"/>
          <w:b w:val="false"/>
          <w:bCs w:val="false"/>
          <w:i w:val="false"/>
          <w:iCs w:val="false"/>
          <w:color w:val="1F2933"/>
          <w:sz w:val="20"/>
          <w:szCs w:val="20"/>
        </w:rPr>
        <w:t xml:space="preserve">Before use, confirm whether the tool trains its models on our data, and switch this off where the option exists.</w:t>
      </w:r>
    </w:p>
    <w:p>
      <w:pPr>
        <w:spacing w:after="100" w:before="220"/>
      </w:pPr>
      <w:r>
        <w:rPr>
          <w:rFonts w:ascii="Calibri" w:cs="Calibri" w:eastAsia="Calibri" w:hAnsi="Calibri"/>
          <w:b/>
          <w:bCs/>
          <w:i w:val="false"/>
          <w:iCs w:val="false"/>
          <w:color w:val="0B6F66"/>
          <w:sz w:val="22"/>
          <w:szCs w:val="22"/>
        </w:rPr>
        <w:t xml:space="preserve">4.3  Oversight and accountability</w:t>
      </w:r>
    </w:p>
    <w:p>
      <w:pPr>
        <w:spacing w:after="120" w:before="0" w:line="260"/>
        <w:ind w:left="340" w:hanging="340"/>
      </w:pPr>
      <w:r>
        <w:rPr>
          <w:rFonts w:ascii="Calibri" w:cs="Calibri" w:eastAsia="Calibri" w:hAnsi="Calibri"/>
          <w:b/>
          <w:bCs/>
          <w:i w:val="false"/>
          <w:iCs w:val="false"/>
          <w:color w:val="0B6F66"/>
          <w:sz w:val="20"/>
          <w:szCs w:val="20"/>
        </w:rPr>
        <w:t xml:space="preserve">4.3.1  </w:t>
      </w:r>
      <w:r>
        <w:rPr>
          <w:rFonts w:ascii="Calibri" w:cs="Calibri" w:eastAsia="Calibri" w:hAnsi="Calibri"/>
          <w:b/>
          <w:bCs/>
          <w:i w:val="false"/>
          <w:iCs w:val="false"/>
          <w:color w:val="1F2933"/>
          <w:sz w:val="20"/>
          <w:szCs w:val="20"/>
        </w:rPr>
        <w:t xml:space="preserve">High-risk uses need approval. </w:t>
      </w:r>
      <w:r>
        <w:rPr>
          <w:rFonts w:ascii="Calibri" w:cs="Calibri" w:eastAsia="Calibri" w:hAnsi="Calibri"/>
          <w:b w:val="false"/>
          <w:bCs w:val="false"/>
          <w:i w:val="false"/>
          <w:iCs w:val="false"/>
          <w:color w:val="1F2933"/>
          <w:sz w:val="20"/>
          <w:szCs w:val="20"/>
        </w:rPr>
        <w:t xml:space="preserve">High-risk AI applications (for example decisions on hiring, finance, or safety) require senior management approval before use.</w:t>
      </w:r>
    </w:p>
    <w:p>
      <w:pPr>
        <w:spacing w:after="120" w:before="0" w:line="260"/>
        <w:ind w:left="340" w:hanging="340"/>
      </w:pPr>
      <w:r>
        <w:rPr>
          <w:rFonts w:ascii="Calibri" w:cs="Calibri" w:eastAsia="Calibri" w:hAnsi="Calibri"/>
          <w:b/>
          <w:bCs/>
          <w:i w:val="false"/>
          <w:iCs w:val="false"/>
          <w:color w:val="0B6F66"/>
          <w:sz w:val="20"/>
          <w:szCs w:val="20"/>
        </w:rPr>
        <w:t xml:space="preserve">4.3.2  </w:t>
      </w:r>
      <w:r>
        <w:rPr>
          <w:rFonts w:ascii="Calibri" w:cs="Calibri" w:eastAsia="Calibri" w:hAnsi="Calibri"/>
          <w:b/>
          <w:bCs/>
          <w:i w:val="false"/>
          <w:iCs w:val="false"/>
          <w:color w:val="1F2933"/>
          <w:sz w:val="20"/>
          <w:szCs w:val="20"/>
        </w:rPr>
        <w:t xml:space="preserve">Keep a human in the loop. </w:t>
      </w:r>
      <w:r>
        <w:rPr>
          <w:rFonts w:ascii="Calibri" w:cs="Calibri" w:eastAsia="Calibri" w:hAnsi="Calibri"/>
          <w:b w:val="false"/>
          <w:bCs w:val="false"/>
          <w:i w:val="false"/>
          <w:iCs w:val="false"/>
          <w:color w:val="1F2933"/>
          <w:sz w:val="20"/>
          <w:szCs w:val="20"/>
        </w:rPr>
        <w:t xml:space="preserve">Human oversight is mandatory for AI decisions that significantly affect individuals or business operations.</w:t>
      </w:r>
    </w:p>
    <w:p>
      <w:pPr>
        <w:spacing w:after="120" w:before="0" w:line="260"/>
        <w:ind w:left="340" w:hanging="340"/>
      </w:pPr>
      <w:r>
        <w:rPr>
          <w:rFonts w:ascii="Calibri" w:cs="Calibri" w:eastAsia="Calibri" w:hAnsi="Calibri"/>
          <w:b/>
          <w:bCs/>
          <w:i w:val="false"/>
          <w:iCs w:val="false"/>
          <w:color w:val="0B6F66"/>
          <w:sz w:val="20"/>
          <w:szCs w:val="20"/>
        </w:rPr>
        <w:t xml:space="preserve">4.3.3  </w:t>
      </w:r>
      <w:r>
        <w:rPr>
          <w:rFonts w:ascii="Calibri" w:cs="Calibri" w:eastAsia="Calibri" w:hAnsi="Calibri"/>
          <w:b/>
          <w:bCs/>
          <w:i w:val="false"/>
          <w:iCs w:val="false"/>
          <w:color w:val="1F2933"/>
          <w:sz w:val="20"/>
          <w:szCs w:val="20"/>
        </w:rPr>
        <w:t xml:space="preserve">Automated decisions. </w:t>
      </w:r>
      <w:r>
        <w:rPr>
          <w:rFonts w:ascii="Calibri" w:cs="Calibri" w:eastAsia="Calibri" w:hAnsi="Calibri"/>
          <w:b w:val="false"/>
          <w:bCs w:val="false"/>
          <w:i w:val="false"/>
          <w:iCs w:val="false"/>
          <w:color w:val="1F2933"/>
          <w:sz w:val="20"/>
          <w:szCs w:val="20"/>
        </w:rPr>
        <w:t xml:space="preserve">Where a decision significantly affecting a person is made solely by automated means, we will provide meaningful human involvement, a clear explanation, and a route to challenge the outcome.</w:t>
      </w:r>
    </w:p>
    <w:p>
      <w:pPr>
        <w:spacing w:after="120" w:before="0" w:line="260"/>
        <w:ind w:left="340" w:hanging="340"/>
      </w:pPr>
      <w:r>
        <w:rPr>
          <w:rFonts w:ascii="Calibri" w:cs="Calibri" w:eastAsia="Calibri" w:hAnsi="Calibri"/>
          <w:b/>
          <w:bCs/>
          <w:i w:val="false"/>
          <w:iCs w:val="false"/>
          <w:color w:val="0B6F66"/>
          <w:sz w:val="20"/>
          <w:szCs w:val="20"/>
        </w:rPr>
        <w:t xml:space="preserve">4.3.4  </w:t>
      </w:r>
      <w:r>
        <w:rPr>
          <w:rFonts w:ascii="Calibri" w:cs="Calibri" w:eastAsia="Calibri" w:hAnsi="Calibri"/>
          <w:b/>
          <w:bCs/>
          <w:i w:val="false"/>
          <w:iCs w:val="false"/>
          <w:color w:val="1F2933"/>
          <w:sz w:val="20"/>
          <w:szCs w:val="20"/>
        </w:rPr>
        <w:t xml:space="preserve">Verify before you rely. </w:t>
      </w:r>
      <w:r>
        <w:rPr>
          <w:rFonts w:ascii="Calibri" w:cs="Calibri" w:eastAsia="Calibri" w:hAnsi="Calibri"/>
          <w:b w:val="false"/>
          <w:bCs w:val="false"/>
          <w:i w:val="false"/>
          <w:iCs w:val="false"/>
          <w:color w:val="1F2933"/>
          <w:sz w:val="20"/>
          <w:szCs w:val="20"/>
        </w:rPr>
        <w:t xml:space="preserve">AI outputs must be checked for accuracy before use in reports, communications or anything customer-facing. The person who sends it owns it.</w:t>
      </w:r>
    </w:p>
    <w:p>
      <w:pPr>
        <w:spacing w:after="100" w:before="220"/>
      </w:pPr>
      <w:r>
        <w:rPr>
          <w:rFonts w:ascii="Calibri" w:cs="Calibri" w:eastAsia="Calibri" w:hAnsi="Calibri"/>
          <w:b/>
          <w:bCs/>
          <w:i w:val="false"/>
          <w:iCs w:val="false"/>
          <w:color w:val="0B6F66"/>
          <w:sz w:val="22"/>
          <w:szCs w:val="22"/>
        </w:rPr>
        <w:t xml:space="preserve">4.4  Transparency</w:t>
      </w:r>
    </w:p>
    <w:p>
      <w:pPr>
        <w:spacing w:after="120" w:before="0" w:line="260"/>
        <w:ind w:left="340" w:hanging="340"/>
      </w:pPr>
      <w:r>
        <w:rPr>
          <w:rFonts w:ascii="Calibri" w:cs="Calibri" w:eastAsia="Calibri" w:hAnsi="Calibri"/>
          <w:b/>
          <w:bCs/>
          <w:i w:val="false"/>
          <w:iCs w:val="false"/>
          <w:color w:val="0B6F66"/>
          <w:sz w:val="20"/>
          <w:szCs w:val="20"/>
        </w:rPr>
        <w:t xml:space="preserve">4.4.1  </w:t>
      </w:r>
      <w:r>
        <w:rPr>
          <w:rFonts w:ascii="Calibri" w:cs="Calibri" w:eastAsia="Calibri" w:hAnsi="Calibri"/>
          <w:b/>
          <w:bCs/>
          <w:i w:val="false"/>
          <w:iCs w:val="false"/>
          <w:color w:val="1F2933"/>
          <w:sz w:val="20"/>
          <w:szCs w:val="20"/>
        </w:rPr>
        <w:t xml:space="preserve">Say when it is AI. </w:t>
      </w:r>
      <w:r>
        <w:rPr>
          <w:rFonts w:ascii="Calibri" w:cs="Calibri" w:eastAsia="Calibri" w:hAnsi="Calibri"/>
          <w:b w:val="false"/>
          <w:bCs w:val="false"/>
          <w:i w:val="false"/>
          <w:iCs w:val="false"/>
          <w:color w:val="1F2933"/>
          <w:sz w:val="20"/>
          <w:szCs w:val="20"/>
        </w:rPr>
        <w:t xml:space="preserve">AI-generated or AI-edited content shared outside the business must be clearly disclosed as AI-generated where a reader could otherwise be misled, and marked in a machine-readable format where required (EU AI Act, Article 50).</w:t>
      </w:r>
    </w:p>
    <w:p>
      <w:pPr>
        <w:spacing w:after="120" w:before="0" w:line="260"/>
        <w:ind w:left="340" w:hanging="340"/>
      </w:pPr>
      <w:r>
        <w:rPr>
          <w:rFonts w:ascii="Calibri" w:cs="Calibri" w:eastAsia="Calibri" w:hAnsi="Calibri"/>
          <w:b/>
          <w:bCs/>
          <w:i w:val="false"/>
          <w:iCs w:val="false"/>
          <w:color w:val="0B6F66"/>
          <w:sz w:val="20"/>
          <w:szCs w:val="20"/>
        </w:rPr>
        <w:t xml:space="preserve">4.4.2  </w:t>
      </w:r>
      <w:r>
        <w:rPr>
          <w:rFonts w:ascii="Calibri" w:cs="Calibri" w:eastAsia="Calibri" w:hAnsi="Calibri"/>
          <w:b/>
          <w:bCs/>
          <w:i w:val="false"/>
          <w:iCs w:val="false"/>
          <w:color w:val="1F2933"/>
          <w:sz w:val="20"/>
          <w:szCs w:val="20"/>
        </w:rPr>
        <w:t xml:space="preserve">Tell people they are talking to a bot. </w:t>
      </w:r>
      <w:r>
        <w:rPr>
          <w:rFonts w:ascii="Calibri" w:cs="Calibri" w:eastAsia="Calibri" w:hAnsi="Calibri"/>
          <w:b w:val="false"/>
          <w:bCs w:val="false"/>
          <w:i w:val="false"/>
          <w:iCs w:val="false"/>
          <w:color w:val="1F2933"/>
          <w:sz w:val="20"/>
          <w:szCs w:val="20"/>
        </w:rPr>
        <w:t xml:space="preserve">If customers interact with an AI chatbot or voice agent, this must be made obvious to them.</w:t>
      </w:r>
    </w:p>
    <w:p>
      <w:pPr>
        <w:spacing w:after="100" w:before="220"/>
      </w:pPr>
      <w:r>
        <w:rPr>
          <w:rFonts w:ascii="Calibri" w:cs="Calibri" w:eastAsia="Calibri" w:hAnsi="Calibri"/>
          <w:b/>
          <w:bCs/>
          <w:i w:val="false"/>
          <w:iCs w:val="false"/>
          <w:color w:val="0B6F66"/>
          <w:sz w:val="22"/>
          <w:szCs w:val="22"/>
        </w:rPr>
        <w:t xml:space="preserve">4.5  Prohibited uses</w:t>
      </w:r>
    </w:p>
    <w:p>
      <w:pPr>
        <w:spacing w:after="80" w:before="0" w:line="260"/>
      </w:pPr>
      <w:r>
        <w:rPr>
          <w:rFonts w:ascii="Calibri" w:cs="Calibri" w:eastAsia="Calibri" w:hAnsi="Calibri"/>
          <w:b w:val="false"/>
          <w:bCs w:val="false"/>
          <w:i w:val="false"/>
          <w:iCs w:val="false"/>
          <w:color w:val="1F2933"/>
          <w:sz w:val="20"/>
          <w:szCs w:val="20"/>
        </w:rPr>
        <w:t xml:space="preserve">AI must never be used for practices banned under the EU AI Act (Article 5). These include:</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Social scoring of individuals.</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Manipulative or exploitative systems that target vulnerable people.</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Untargeted scraping of facial images to build recognition databases.</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Generating non-consensual intimate imagery or child sexual abuse material.</w:t>
      </w:r>
    </w:p>
    <w:p>
      <w:pPr>
        <w:spacing w:after="140" w:before="0" w:line="260"/>
      </w:pPr>
      <w:r>
        <w:rPr>
          <w:rFonts w:ascii="Calibri" w:cs="Calibri" w:eastAsia="Calibri" w:hAnsi="Calibri"/>
          <w:b w:val="false"/>
          <w:bCs w:val="false"/>
          <w:i/>
          <w:iCs/>
          <w:color w:val="1F2933"/>
          <w:sz w:val="20"/>
          <w:szCs w:val="20"/>
        </w:rPr>
        <w:t xml:space="preserve">Any such use is a serious disciplinary matter and may also be a criminal offence.</w:t>
      </w:r>
    </w:p>
    <w:p>
      <w:pPr>
        <w:spacing w:after="100" w:before="220"/>
      </w:pPr>
      <w:r>
        <w:rPr>
          <w:rFonts w:ascii="Calibri" w:cs="Calibri" w:eastAsia="Calibri" w:hAnsi="Calibri"/>
          <w:b/>
          <w:bCs/>
          <w:i w:val="false"/>
          <w:iCs w:val="false"/>
          <w:color w:val="0B6F66"/>
          <w:sz w:val="22"/>
          <w:szCs w:val="22"/>
        </w:rPr>
        <w:t xml:space="preserve">4.6  Vendors and procurement</w:t>
      </w:r>
    </w:p>
    <w:p>
      <w:pPr>
        <w:spacing w:after="120" w:before="0" w:line="260"/>
        <w:ind w:left="340" w:hanging="340"/>
      </w:pPr>
      <w:r>
        <w:rPr>
          <w:rFonts w:ascii="Calibri" w:cs="Calibri" w:eastAsia="Calibri" w:hAnsi="Calibri"/>
          <w:b/>
          <w:bCs/>
          <w:i w:val="false"/>
          <w:iCs w:val="false"/>
          <w:color w:val="0B6F66"/>
          <w:sz w:val="20"/>
          <w:szCs w:val="20"/>
        </w:rPr>
        <w:t xml:space="preserve">4.6.1  </w:t>
      </w:r>
      <w:r>
        <w:rPr>
          <w:rFonts w:ascii="Calibri" w:cs="Calibri" w:eastAsia="Calibri" w:hAnsi="Calibri"/>
          <w:b/>
          <w:bCs/>
          <w:i w:val="false"/>
          <w:iCs w:val="false"/>
          <w:color w:val="1F2933"/>
          <w:sz w:val="20"/>
          <w:szCs w:val="20"/>
        </w:rPr>
        <w:t xml:space="preserve">Check before you buy. </w:t>
      </w:r>
      <w:r>
        <w:rPr>
          <w:rFonts w:ascii="Calibri" w:cs="Calibri" w:eastAsia="Calibri" w:hAnsi="Calibri"/>
          <w:b w:val="false"/>
          <w:bCs w:val="false"/>
          <w:i w:val="false"/>
          <w:iCs w:val="false"/>
          <w:color w:val="1F2933"/>
          <w:sz w:val="20"/>
          <w:szCs w:val="20"/>
        </w:rPr>
        <w:t xml:space="preserve">Third-party AI vendors must pass due diligence for security, compliance and reliability. Use our Vendor Security Checklist.</w:t>
      </w:r>
    </w:p>
    <w:p>
      <w:pPr>
        <w:spacing w:after="120" w:before="0" w:line="260"/>
        <w:ind w:left="340" w:hanging="340"/>
      </w:pPr>
      <w:r>
        <w:rPr>
          <w:rFonts w:ascii="Calibri" w:cs="Calibri" w:eastAsia="Calibri" w:hAnsi="Calibri"/>
          <w:b/>
          <w:bCs/>
          <w:i w:val="false"/>
          <w:iCs w:val="false"/>
          <w:color w:val="0B6F66"/>
          <w:sz w:val="20"/>
          <w:szCs w:val="20"/>
        </w:rPr>
        <w:t xml:space="preserve">4.6.2  </w:t>
      </w:r>
      <w:r>
        <w:rPr>
          <w:rFonts w:ascii="Calibri" w:cs="Calibri" w:eastAsia="Calibri" w:hAnsi="Calibri"/>
          <w:b/>
          <w:bCs/>
          <w:i w:val="false"/>
          <w:iCs w:val="false"/>
          <w:color w:val="1F2933"/>
          <w:sz w:val="20"/>
          <w:szCs w:val="20"/>
        </w:rPr>
        <w:t xml:space="preserve">Know their role. </w:t>
      </w:r>
      <w:r>
        <w:rPr>
          <w:rFonts w:ascii="Calibri" w:cs="Calibri" w:eastAsia="Calibri" w:hAnsi="Calibri"/>
          <w:b w:val="false"/>
          <w:bCs w:val="false"/>
          <w:i w:val="false"/>
          <w:iCs w:val="false"/>
          <w:color w:val="1F2933"/>
          <w:sz w:val="20"/>
          <w:szCs w:val="20"/>
        </w:rPr>
        <w:t xml:space="preserve">Record whether each vendor is a provider, deployer or general-purpose AI provider, and whether any system they supply is high-risk.</w:t>
      </w:r>
    </w:p>
    <w:p>
      <w:pPr>
        <w:spacing w:after="100" w:before="220"/>
      </w:pPr>
      <w:r>
        <w:rPr>
          <w:rFonts w:ascii="Calibri" w:cs="Calibri" w:eastAsia="Calibri" w:hAnsi="Calibri"/>
          <w:b/>
          <w:bCs/>
          <w:i w:val="false"/>
          <w:iCs w:val="false"/>
          <w:color w:val="0B6F66"/>
          <w:sz w:val="22"/>
          <w:szCs w:val="22"/>
        </w:rPr>
        <w:t xml:space="preserve">4.7  People, training and reporting</w:t>
      </w:r>
    </w:p>
    <w:p>
      <w:pPr>
        <w:spacing w:after="120" w:before="0" w:line="260"/>
        <w:ind w:left="340" w:hanging="340"/>
      </w:pPr>
      <w:r>
        <w:rPr>
          <w:rFonts w:ascii="Calibri" w:cs="Calibri" w:eastAsia="Calibri" w:hAnsi="Calibri"/>
          <w:b/>
          <w:bCs/>
          <w:i w:val="false"/>
          <w:iCs w:val="false"/>
          <w:color w:val="0B6F66"/>
          <w:sz w:val="20"/>
          <w:szCs w:val="20"/>
        </w:rPr>
        <w:t xml:space="preserve">4.7.1  </w:t>
      </w:r>
      <w:r>
        <w:rPr>
          <w:rFonts w:ascii="Calibri" w:cs="Calibri" w:eastAsia="Calibri" w:hAnsi="Calibri"/>
          <w:b/>
          <w:bCs/>
          <w:i w:val="false"/>
          <w:iCs w:val="false"/>
          <w:color w:val="1F2933"/>
          <w:sz w:val="20"/>
          <w:szCs w:val="20"/>
        </w:rPr>
        <w:t xml:space="preserve">AI literacy. </w:t>
      </w:r>
      <w:r>
        <w:rPr>
          <w:rFonts w:ascii="Calibri" w:cs="Calibri" w:eastAsia="Calibri" w:hAnsi="Calibri"/>
          <w:b w:val="false"/>
          <w:bCs w:val="false"/>
          <w:i w:val="false"/>
          <w:iCs w:val="false"/>
          <w:color w:val="1F2933"/>
          <w:sz w:val="20"/>
          <w:szCs w:val="20"/>
        </w:rPr>
        <w:t xml:space="preserve">All staff who use or oversee AI must hold a level of AI understanding appropriate to their role (EU AI Act, Article 4). Training must be completed before using AI tools.</w:t>
      </w:r>
    </w:p>
    <w:p>
      <w:pPr>
        <w:spacing w:after="120" w:before="0" w:line="260"/>
        <w:ind w:left="340" w:hanging="340"/>
      </w:pPr>
      <w:r>
        <w:rPr>
          <w:rFonts w:ascii="Calibri" w:cs="Calibri" w:eastAsia="Calibri" w:hAnsi="Calibri"/>
          <w:b/>
          <w:bCs/>
          <w:i w:val="false"/>
          <w:iCs w:val="false"/>
          <w:color w:val="0B6F66"/>
          <w:sz w:val="20"/>
          <w:szCs w:val="20"/>
        </w:rPr>
        <w:t xml:space="preserve">4.7.2  </w:t>
      </w:r>
      <w:r>
        <w:rPr>
          <w:rFonts w:ascii="Calibri" w:cs="Calibri" w:eastAsia="Calibri" w:hAnsi="Calibri"/>
          <w:b/>
          <w:bCs/>
          <w:i w:val="false"/>
          <w:iCs w:val="false"/>
          <w:color w:val="1F2933"/>
          <w:sz w:val="20"/>
          <w:szCs w:val="20"/>
        </w:rPr>
        <w:t xml:space="preserve">Respect intellectual property. </w:t>
      </w:r>
      <w:r>
        <w:rPr>
          <w:rFonts w:ascii="Calibri" w:cs="Calibri" w:eastAsia="Calibri" w:hAnsi="Calibri"/>
          <w:b w:val="false"/>
          <w:bCs w:val="false"/>
          <w:i w:val="false"/>
          <w:iCs w:val="false"/>
          <w:color w:val="1F2933"/>
          <w:sz w:val="20"/>
          <w:szCs w:val="20"/>
        </w:rPr>
        <w:t xml:space="preserve">All AI use must comply with intellectual property law, copyright and licensing terms. Do not upload material we do not have the right to use.</w:t>
      </w:r>
    </w:p>
    <w:p>
      <w:pPr>
        <w:spacing w:after="120" w:before="0" w:line="260"/>
        <w:ind w:left="340" w:hanging="340"/>
      </w:pPr>
      <w:r>
        <w:rPr>
          <w:rFonts w:ascii="Calibri" w:cs="Calibri" w:eastAsia="Calibri" w:hAnsi="Calibri"/>
          <w:b/>
          <w:bCs/>
          <w:i w:val="false"/>
          <w:iCs w:val="false"/>
          <w:color w:val="0B6F66"/>
          <w:sz w:val="20"/>
          <w:szCs w:val="20"/>
        </w:rPr>
        <w:t xml:space="preserve">4.7.3  </w:t>
      </w:r>
      <w:r>
        <w:rPr>
          <w:rFonts w:ascii="Calibri" w:cs="Calibri" w:eastAsia="Calibri" w:hAnsi="Calibri"/>
          <w:b/>
          <w:bCs/>
          <w:i w:val="false"/>
          <w:iCs w:val="false"/>
          <w:color w:val="1F2933"/>
          <w:sz w:val="20"/>
          <w:szCs w:val="20"/>
        </w:rPr>
        <w:t xml:space="preserve">Report problems fast. </w:t>
      </w:r>
      <w:r>
        <w:rPr>
          <w:rFonts w:ascii="Calibri" w:cs="Calibri" w:eastAsia="Calibri" w:hAnsi="Calibri"/>
          <w:b w:val="false"/>
          <w:bCs w:val="false"/>
          <w:i w:val="false"/>
          <w:iCs w:val="false"/>
          <w:color w:val="1F2933"/>
          <w:sz w:val="20"/>
          <w:szCs w:val="20"/>
        </w:rPr>
        <w:t xml:space="preserve">Incidents, misuse, near-misses or suspected AI-related risks must be reported immediately to [insert contact — e.g. the policy owner or compliance@yourcompany.com].</w:t>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5.  Roles and responsibilities</w:t>
      </w:r>
    </w:p>
    <w:tbl>
      <w:tblPr>
        <w:tblW w:type="dxa" w:w="10080"/>
        <w:tblBorders>
          <w:top w:val="single" w:color="C9D6D4" w:sz="4"/>
          <w:left w:val="single" w:color="C9D6D4" w:sz="4"/>
          <w:bottom w:val="single" w:color="C9D6D4" w:sz="4"/>
          <w:right w:val="single" w:color="C9D6D4" w:sz="4"/>
          <w:insideH w:val="single" w:color="C9D6D4" w:sz="4"/>
          <w:insideV w:val="single" w:color="C9D6D4" w:sz="4"/>
        </w:tblBorders>
      </w:tblPr>
      <w:tblGrid>
        <w:gridCol w:w="2600"/>
        <w:gridCol w:w="7480"/>
      </w:tblGrid>
      <w:tr>
        <w:trPr>
          <w:tblHeader/>
        </w:trPr>
        <w:tc>
          <w:tcPr>
            <w:tcW w:type="dxa" w:w="2600"/>
            <w:shd w:fill="0F9B8E"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FFFFFF"/>
                <w:sz w:val="19"/>
                <w:szCs w:val="19"/>
              </w:rPr>
              <w:t xml:space="preserve">Role</w:t>
            </w:r>
          </w:p>
        </w:tc>
        <w:tc>
          <w:tcPr>
            <w:tcW w:type="dxa" w:w="7480"/>
            <w:shd w:fill="0F9B8E" w:color="auto" w:val="clear"/>
            <w:tcMar>
              <w:top w:type="dxa" w:w="80"/>
              <w:left w:type="dxa" w:w="120"/>
              <w:bottom w:type="dxa" w:w="80"/>
              <w:right w:type="dxa" w:w="120"/>
            </w:tcMar>
            <w:vAlign w:val="center"/>
          </w:tcPr>
          <w:p>
            <w:pPr>
              <w:spacing w:after="0" w:before="0" w:line="260"/>
            </w:pPr>
            <w:r>
              <w:rPr>
                <w:rFonts w:ascii="Calibri" w:cs="Calibri" w:eastAsia="Calibri" w:hAnsi="Calibri"/>
                <w:b/>
                <w:bCs/>
                <w:i w:val="false"/>
                <w:iCs w:val="false"/>
                <w:color w:val="FFFFFF"/>
                <w:sz w:val="19"/>
                <w:szCs w:val="19"/>
              </w:rPr>
              <w:t xml:space="preserve">Responsibility</w:t>
            </w:r>
          </w:p>
        </w:tc>
      </w:tr>
      <w:tr>
        <w:tc>
          <w:tcPr>
            <w:tcW w:type="dxa" w:w="26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Senior management</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Approves high-risk AI use, owns overall compliance, and provides resources for oversight.</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Policy owner</w:t>
            </w:r>
          </w:p>
        </w:tc>
        <w:tc>
          <w:tcPr>
            <w:tcW w:type="dxa" w:w="748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Maintains this policy and the AI Register, runs the annual review, and is the first point of contact for questions.</w:t>
            </w:r>
          </w:p>
        </w:tc>
      </w:tr>
      <w:tr>
        <w:tc>
          <w:tcPr>
            <w:tcW w:type="dxa" w:w="26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Employees &amp; contractors</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Follow this policy, complete training, verify AI outputs, and report risks or misuse.</w:t>
            </w:r>
          </w:p>
        </w:tc>
      </w:tr>
      <w:tr>
        <w:tc>
          <w:tcPr>
            <w:tcW w:type="dxa" w:w="260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IT / Operations</w:t>
            </w:r>
          </w:p>
        </w:tc>
        <w:tc>
          <w:tcPr>
            <w:tcW w:type="dxa" w:w="7480"/>
            <w:shd w:fill="E8F6F4" w:color="auto" w:val="clear"/>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Monitors AI use, manages access and logging, and conducts vendor assessments.</w:t>
            </w:r>
          </w:p>
        </w:tc>
      </w:tr>
      <w:tr>
        <w:tc>
          <w:tcPr>
            <w:tcW w:type="dxa" w:w="260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Vendors</w:t>
            </w:r>
          </w:p>
        </w:tc>
        <w:tc>
          <w:tcPr>
            <w:tcW w:type="dxa" w:w="7480"/>
            <w:tcMar>
              <w:top w:type="dxa" w:w="80"/>
              <w:left w:type="dxa" w:w="120"/>
              <w:bottom w:type="dxa" w:w="80"/>
              <w:right w:type="dxa" w:w="120"/>
            </w:tcMar>
            <w:vAlign w:val="center"/>
          </w:tcPr>
          <w:p>
            <w:pPr>
              <w:spacing w:after="0" w:before="0" w:line="260"/>
            </w:pPr>
            <w:r>
              <w:rPr>
                <w:rFonts w:ascii="Calibri" w:cs="Calibri" w:eastAsia="Calibri" w:hAnsi="Calibri"/>
                <w:b w:val="false"/>
                <w:bCs w:val="false"/>
                <w:i w:val="false"/>
                <w:iCs w:val="false"/>
                <w:color w:val="1F2933"/>
                <w:sz w:val="19"/>
                <w:szCs w:val="19"/>
              </w:rPr>
              <w:t xml:space="preserve">Demonstrate compliance with this policy and the frameworks in Section 10.</w:t>
            </w:r>
          </w:p>
        </w:tc>
      </w:tr>
    </w:tbl>
    <w:p>
      <w:pPr>
        <w:pBdr>
          <w:bottom w:val="single" w:color="0F9B8E" w:sz="6" w:space="4"/>
        </w:pBdr>
        <w:spacing w:after="140" w:before="320"/>
      </w:pPr>
      <w:r>
        <w:rPr>
          <w:rFonts w:ascii="Calibri" w:cs="Calibri" w:eastAsia="Calibri" w:hAnsi="Calibri"/>
          <w:b/>
          <w:bCs/>
          <w:i w:val="false"/>
          <w:iCs w:val="false"/>
          <w:color w:val="0B6F66"/>
          <w:sz w:val="26"/>
          <w:szCs w:val="26"/>
        </w:rPr>
        <w:t xml:space="preserve">6.  Enforcement</w:t>
      </w:r>
    </w:p>
    <w:p>
      <w:pPr>
        <w:spacing w:after="100" w:before="0" w:line="260"/>
      </w:pPr>
      <w:r>
        <w:rPr>
          <w:rFonts w:ascii="Calibri" w:cs="Calibri" w:eastAsia="Calibri" w:hAnsi="Calibri"/>
          <w:b w:val="false"/>
          <w:bCs w:val="false"/>
          <w:i w:val="false"/>
          <w:iCs w:val="false"/>
          <w:color w:val="1F2933"/>
          <w:sz w:val="20"/>
          <w:szCs w:val="20"/>
        </w:rPr>
        <w:t xml:space="preserve">Non-compliance may result in disciplinary action, up to and including termination of employment or contract. Vendors in breach may face contract termination. Where a breach involves personal data, we will follow our data breach procedure and notify the regulator if required.</w:t>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7.  Review</w:t>
      </w:r>
    </w:p>
    <w:p>
      <w:pPr>
        <w:spacing w:after="100" w:before="0" w:line="260"/>
      </w:pPr>
      <w:r>
        <w:rPr>
          <w:rFonts w:ascii="Calibri" w:cs="Calibri" w:eastAsia="Calibri" w:hAnsi="Calibri"/>
          <w:b w:val="false"/>
          <w:bCs w:val="false"/>
          <w:i w:val="false"/>
          <w:iCs w:val="false"/>
          <w:color w:val="1F2933"/>
          <w:sz w:val="20"/>
          <w:szCs w:val="20"/>
        </w:rPr>
        <w:t xml:space="preserve">This policy is reviewed at least every 12 months, and sooner if the law changes materially, if we adopt a significantly different AI tool, or following any AI-related incident. All changes are recorded in the AI Register revision log.</w:t>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8.  Approval</w:t>
      </w:r>
    </w:p>
    <w:p>
      <w:pPr>
        <w:spacing w:after="120" w:before="0" w:line="260"/>
      </w:pPr>
      <w:r>
        <w:rPr>
          <w:rFonts w:ascii="Calibri" w:cs="Calibri" w:eastAsia="Calibri" w:hAnsi="Calibri"/>
          <w:b w:val="false"/>
          <w:bCs w:val="false"/>
          <w:i/>
          <w:iCs/>
          <w:color w:val="1F2933"/>
          <w:sz w:val="20"/>
          <w:szCs w:val="20"/>
        </w:rPr>
        <w:t xml:space="preserve">Sign here once approved. Keep the signed copy with your governance records.</w:t>
      </w:r>
    </w:p>
    <w:tbl>
      <w:tblPr>
        <w:tblW w:type="dxa" w:w="10080"/>
        <w:tblBorders>
          <w:top w:val="single" w:color="C9D6D4" w:sz="4"/>
          <w:left w:val="single" w:color="C9D6D4" w:sz="4"/>
          <w:bottom w:val="single" w:color="C9D6D4" w:sz="4"/>
          <w:right w:val="single" w:color="C9D6D4" w:sz="4"/>
          <w:insideH w:val="single" w:color="C9D6D4" w:sz="4"/>
          <w:insideV w:val="single" w:color="C9D6D4" w:sz="4"/>
        </w:tblBorders>
      </w:tblPr>
      <w:tblGrid>
        <w:gridCol w:w="3326"/>
        <w:gridCol w:w="3326"/>
        <w:gridCol w:w="3428"/>
      </w:tblGrid>
      <w:tr>
        <w:trPr>
          <w:tblHeader/>
        </w:trPr>
        <w:tc>
          <w:tcPr>
            <w:tcW w:type="dxa" w:w="3326"/>
            <w:shd w:fill="0F9B8E" w:color="auto" w:val="clear"/>
            <w:tcMar>
              <w:top w:type="dxa" w:w="80"/>
              <w:left w:type="dxa" w:w="120"/>
              <w:bottom w:type="dxa" w:w="80"/>
              <w:right w:type="dxa" w:w="120"/>
            </w:tcMar>
          </w:tcPr>
          <w:p>
            <w:pPr>
              <w:spacing w:after="0" w:before="0" w:line="260"/>
            </w:pPr>
            <w:r>
              <w:rPr>
                <w:rFonts w:ascii="Calibri" w:cs="Calibri" w:eastAsia="Calibri" w:hAnsi="Calibri"/>
                <w:b/>
                <w:bCs/>
                <w:i w:val="false"/>
                <w:iCs w:val="false"/>
                <w:color w:val="FFFFFF"/>
                <w:sz w:val="19"/>
                <w:szCs w:val="19"/>
              </w:rPr>
              <w:t xml:space="preserve">Name</w:t>
            </w:r>
          </w:p>
        </w:tc>
        <w:tc>
          <w:tcPr>
            <w:tcW w:type="dxa" w:w="3326"/>
            <w:shd w:fill="0F9B8E" w:color="auto" w:val="clear"/>
            <w:tcMar>
              <w:top w:type="dxa" w:w="80"/>
              <w:left w:type="dxa" w:w="120"/>
              <w:bottom w:type="dxa" w:w="80"/>
              <w:right w:type="dxa" w:w="120"/>
            </w:tcMar>
          </w:tcPr>
          <w:p>
            <w:pPr>
              <w:spacing w:after="0" w:before="0" w:line="260"/>
            </w:pPr>
            <w:r>
              <w:rPr>
                <w:rFonts w:ascii="Calibri" w:cs="Calibri" w:eastAsia="Calibri" w:hAnsi="Calibri"/>
                <w:b/>
                <w:bCs/>
                <w:i w:val="false"/>
                <w:iCs w:val="false"/>
                <w:color w:val="FFFFFF"/>
                <w:sz w:val="19"/>
                <w:szCs w:val="19"/>
              </w:rPr>
              <w:t xml:space="preserve">Role</w:t>
            </w:r>
          </w:p>
        </w:tc>
        <w:tc>
          <w:tcPr>
            <w:tcW w:type="dxa" w:w="3428"/>
            <w:shd w:fill="0F9B8E" w:color="auto" w:val="clear"/>
            <w:tcMar>
              <w:top w:type="dxa" w:w="80"/>
              <w:left w:type="dxa" w:w="120"/>
              <w:bottom w:type="dxa" w:w="80"/>
              <w:right w:type="dxa" w:w="120"/>
            </w:tcMar>
          </w:tcPr>
          <w:p>
            <w:pPr>
              <w:spacing w:after="0" w:before="0" w:line="260"/>
            </w:pPr>
            <w:r>
              <w:rPr>
                <w:rFonts w:ascii="Calibri" w:cs="Calibri" w:eastAsia="Calibri" w:hAnsi="Calibri"/>
                <w:b/>
                <w:bCs/>
                <w:i w:val="false"/>
                <w:iCs w:val="false"/>
                <w:color w:val="FFFFFF"/>
                <w:sz w:val="19"/>
                <w:szCs w:val="19"/>
              </w:rPr>
              <w:t xml:space="preserve">Signature &amp; date</w:t>
            </w:r>
          </w:p>
        </w:tc>
      </w:tr>
      <w:tr>
        <w:trPr>
          <w:trHeight w:val="620" w:hRule="atLeast"/>
        </w:trPr>
        <w:tc>
          <w:tcPr>
            <w:tcW w:type="dxa" w:w="3326"/>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c>
          <w:tcPr>
            <w:tcW w:type="dxa" w:w="3326"/>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c>
          <w:tcPr>
            <w:tcW w:type="dxa" w:w="3428"/>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r>
      <w:tr>
        <w:trPr>
          <w:trHeight w:val="620" w:hRule="atLeast"/>
        </w:trPr>
        <w:tc>
          <w:tcPr>
            <w:tcW w:type="dxa" w:w="3326"/>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c>
          <w:tcPr>
            <w:tcW w:type="dxa" w:w="3326"/>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c>
          <w:tcPr>
            <w:tcW w:type="dxa" w:w="3428"/>
            <w:tcMar>
              <w:top w:type="dxa" w:w="80"/>
              <w:left w:type="dxa" w:w="120"/>
              <w:bottom w:type="dxa" w:w="80"/>
              <w:right w:type="dxa" w:w="120"/>
            </w:tcMar>
            <w:vAlign w:val="bottom"/>
          </w:tcPr>
          <w:p>
            <w:pPr>
              <w:spacing w:after="0" w:before="0" w:line="260"/>
            </w:pPr>
            <w:r>
              <w:rPr>
                <w:rFonts w:ascii="Calibri" w:cs="Calibri" w:eastAsia="Calibri" w:hAnsi="Calibri"/>
                <w:b w:val="false"/>
                <w:bCs w:val="false"/>
                <w:i w:val="false"/>
                <w:iCs w:val="false"/>
                <w:color w:val="1F2933"/>
                <w:sz w:val="20"/>
                <w:szCs w:val="20"/>
              </w:rPr>
              <w:t xml:space="preserve"/>
            </w:r>
          </w:p>
        </w:tc>
      </w:tr>
    </w:tbl>
    <w:p>
      <w:pPr>
        <w:pBdr>
          <w:bottom w:val="single" w:color="0F9B8E" w:sz="6" w:space="4"/>
        </w:pBdr>
        <w:spacing w:after="140" w:before="320"/>
      </w:pPr>
      <w:r>
        <w:rPr>
          <w:rFonts w:ascii="Calibri" w:cs="Calibri" w:eastAsia="Calibri" w:hAnsi="Calibri"/>
          <w:b/>
          <w:bCs/>
          <w:i w:val="false"/>
          <w:iCs w:val="false"/>
          <w:color w:val="0B6F66"/>
          <w:sz w:val="26"/>
          <w:szCs w:val="26"/>
        </w:rPr>
        <w:t xml:space="preserve">9.  What changed in 2026</w:t>
      </w:r>
    </w:p>
    <w:p>
      <w:pPr>
        <w:spacing w:after="140" w:before="0" w:line="260"/>
      </w:pPr>
      <w:r>
        <w:rPr>
          <w:rFonts w:ascii="Calibri" w:cs="Calibri" w:eastAsia="Calibri" w:hAnsi="Calibri"/>
          <w:b w:val="false"/>
          <w:bCs w:val="false"/>
          <w:i/>
          <w:iCs/>
          <w:color w:val="1F2933"/>
          <w:sz w:val="20"/>
          <w:szCs w:val="20"/>
        </w:rPr>
        <w:t xml:space="preserve">The 2026 update to this pack reflects the following developments. This is background for the policy owner — it does not need to be circulated to all staff.</w:t>
      </w:r>
    </w:p>
    <w:tbl>
      <w:tblPr>
        <w:tblW w:type="dxa" w:w="10080"/>
        <w:tblBorders>
          <w:top w:val="single" w:color="0F9B8E" w:sz="4"/>
          <w:left w:val="single" w:color="0F9B8E" w:sz="18"/>
          <w:bottom w:val="single" w:color="0F9B8E" w:sz="4"/>
          <w:right w:val="single" w:color="0F9B8E" w:sz="4"/>
          <w:insideH w:val="none" w:color="FFFFFF" w:sz="0"/>
          <w:insideV w:val="none" w:color="FFFFFF" w:sz="0"/>
        </w:tblBorders>
      </w:tblPr>
      <w:tblGrid>
        <w:gridCol w:w="10080"/>
      </w:tblGrid>
      <w:tr>
        <w:tc>
          <w:tcPr>
            <w:tcW w:type="dxa" w:w="10080"/>
            <w:shd w:fill="E8F6F4" w:color="auto" w:val="clear"/>
            <w:tcMar>
              <w:top w:type="dxa" w:w="160"/>
              <w:left w:type="dxa" w:w="200"/>
              <w:bottom w:type="dxa" w:w="160"/>
              <w:right w:type="dxa" w:w="200"/>
            </w:tcMar>
          </w:tcPr>
          <w:p>
            <w:pPr>
              <w:spacing w:after="100" w:before="0" w:line="260"/>
            </w:pPr>
            <w:r>
              <w:rPr>
                <w:rFonts w:ascii="Calibri" w:cs="Calibri" w:eastAsia="Calibri" w:hAnsi="Calibri"/>
                <w:b/>
                <w:bCs/>
                <w:i w:val="false"/>
                <w:iCs w:val="false"/>
                <w:color w:val="0B6F66"/>
                <w:sz w:val="22"/>
                <w:szCs w:val="22"/>
              </w:rPr>
              <w:t xml:space="preserve">Regulatory update — July 2026</w:t>
            </w:r>
          </w:p>
          <w:p>
            <w:pPr>
              <w:spacing w:after="80" w:before="0" w:line="260"/>
            </w:pPr>
            <w:r>
              <w:rPr>
                <w:rFonts w:ascii="Calibri" w:cs="Calibri" w:eastAsia="Calibri" w:hAnsi="Calibri"/>
                <w:b/>
                <w:bCs/>
                <w:i w:val="false"/>
                <w:iCs w:val="false"/>
                <w:color w:val="1F2933"/>
                <w:sz w:val="19"/>
                <w:szCs w:val="19"/>
              </w:rPr>
              <w:t xml:space="preserve">EU AI Act, as amended. </w:t>
            </w:r>
            <w:r>
              <w:rPr>
                <w:rFonts w:ascii="Calibri" w:cs="Calibri" w:eastAsia="Calibri" w:hAnsi="Calibri"/>
                <w:b w:val="false"/>
                <w:bCs w:val="false"/>
                <w:i w:val="false"/>
                <w:iCs w:val="false"/>
                <w:color w:val="1F2933"/>
                <w:sz w:val="19"/>
                <w:szCs w:val="19"/>
              </w:rPr>
              <w:t xml:space="preserve">The Act (Regulation (EU) 2024/1689) was amended by the Digital Omnibus on AI, adopted by the European Parliament on 16 June 2026 and the Council on 29 June 2026. Obligations for stand-alone high-risk systems (Annex III) now apply from 2 December 2027, and for AI embedded in regulated products (Annex I) from 2 August 2028.</w:t>
            </w:r>
          </w:p>
          <w:p>
            <w:pPr>
              <w:spacing w:after="80" w:before="0" w:line="260"/>
            </w:pPr>
            <w:r>
              <w:rPr>
                <w:rFonts w:ascii="Calibri" w:cs="Calibri" w:eastAsia="Calibri" w:hAnsi="Calibri"/>
                <w:b/>
                <w:bCs/>
                <w:i w:val="false"/>
                <w:iCs w:val="false"/>
                <w:color w:val="1F2933"/>
                <w:sz w:val="19"/>
                <w:szCs w:val="19"/>
              </w:rPr>
              <w:t xml:space="preserve">Already in force. </w:t>
            </w:r>
            <w:r>
              <w:rPr>
                <w:rFonts w:ascii="Calibri" w:cs="Calibri" w:eastAsia="Calibri" w:hAnsi="Calibri"/>
                <w:b w:val="false"/>
                <w:bCs w:val="false"/>
                <w:i w:val="false"/>
                <w:iCs w:val="false"/>
                <w:color w:val="1F2933"/>
                <w:sz w:val="19"/>
                <w:szCs w:val="19"/>
              </w:rPr>
              <w:t xml:space="preserve">Prohibited practices have applied since 2 February 2025 and general-purpose AI rules since 2 August 2025. Transparency duties under Article 50 apply from 2 August 2026, with a short grace period for systems already on the market.</w:t>
            </w:r>
          </w:p>
          <w:p>
            <w:pPr>
              <w:spacing w:after="80" w:before="0" w:line="260"/>
            </w:pPr>
            <w:r>
              <w:rPr>
                <w:rFonts w:ascii="Calibri" w:cs="Calibri" w:eastAsia="Calibri" w:hAnsi="Calibri"/>
                <w:b/>
                <w:bCs/>
                <w:i w:val="false"/>
                <w:iCs w:val="false"/>
                <w:color w:val="1F2933"/>
                <w:sz w:val="19"/>
                <w:szCs w:val="19"/>
              </w:rPr>
              <w:t xml:space="preserve">New prohibition. </w:t>
            </w:r>
            <w:r>
              <w:rPr>
                <w:rFonts w:ascii="Calibri" w:cs="Calibri" w:eastAsia="Calibri" w:hAnsi="Calibri"/>
                <w:b w:val="false"/>
                <w:bCs w:val="false"/>
                <w:i w:val="false"/>
                <w:iCs w:val="false"/>
                <w:color w:val="1F2933"/>
                <w:sz w:val="19"/>
                <w:szCs w:val="19"/>
              </w:rPr>
              <w:t xml:space="preserve">A ban on AI systems used to create non-consensual intimate imagery and child sexual abuse material applies from 2 December 2026.</w:t>
            </w:r>
          </w:p>
          <w:p>
            <w:pPr>
              <w:spacing w:after="80" w:before="0" w:line="260"/>
            </w:pPr>
            <w:r>
              <w:rPr>
                <w:rFonts w:ascii="Calibri" w:cs="Calibri" w:eastAsia="Calibri" w:hAnsi="Calibri"/>
                <w:b/>
                <w:bCs/>
                <w:i w:val="false"/>
                <w:iCs w:val="false"/>
                <w:color w:val="1F2933"/>
                <w:sz w:val="19"/>
                <w:szCs w:val="19"/>
              </w:rPr>
              <w:t xml:space="preserve">UK data law. </w:t>
            </w:r>
            <w:r>
              <w:rPr>
                <w:rFonts w:ascii="Calibri" w:cs="Calibri" w:eastAsia="Calibri" w:hAnsi="Calibri"/>
                <w:b w:val="false"/>
                <w:bCs w:val="false"/>
                <w:i w:val="false"/>
                <w:iCs w:val="false"/>
                <w:color w:val="1F2933"/>
                <w:sz w:val="19"/>
                <w:szCs w:val="19"/>
              </w:rPr>
              <w:t xml:space="preserve">The Data (Use and Access) Act 2025 amends the UK GDPR, the Data Protection Act 2018 and PECR. Key changes took effect on 5 February 2026, with the duty to handle data protection complaints in force from 19 June 2026.</w:t>
            </w:r>
          </w:p>
          <w:p>
            <w:pPr>
              <w:spacing w:after="80" w:before="0" w:line="260"/>
            </w:pPr>
            <w:r>
              <w:rPr>
                <w:rFonts w:ascii="Calibri" w:cs="Calibri" w:eastAsia="Calibri" w:hAnsi="Calibri"/>
                <w:b/>
                <w:bCs/>
                <w:i w:val="false"/>
                <w:iCs w:val="false"/>
                <w:color w:val="1F2933"/>
                <w:sz w:val="19"/>
                <w:szCs w:val="19"/>
              </w:rPr>
              <w:t xml:space="preserve">NIST AI RMF. </w:t>
            </w:r>
            <w:r>
              <w:rPr>
                <w:rFonts w:ascii="Calibri" w:cs="Calibri" w:eastAsia="Calibri" w:hAnsi="Calibri"/>
                <w:b w:val="false"/>
                <w:bCs w:val="false"/>
                <w:i w:val="false"/>
                <w:iCs w:val="false"/>
                <w:color w:val="1F2933"/>
                <w:sz w:val="19"/>
                <w:szCs w:val="19"/>
              </w:rPr>
              <w:t xml:space="preserve">AI RMF 1.0 remains the reference framework; a revision is in progress during 2026. The Govern / Map / Measure / Manage structure is unchanged.</w:t>
            </w:r>
          </w:p>
          <w:p>
            <w:pPr>
              <w:spacing w:after="80" w:before="0" w:line="260"/>
            </w:pPr>
            <w:r>
              <w:rPr>
                <w:rFonts w:ascii="Calibri" w:cs="Calibri" w:eastAsia="Calibri" w:hAnsi="Calibri"/>
                <w:b/>
                <w:bCs/>
                <w:i w:val="false"/>
                <w:iCs w:val="false"/>
                <w:color w:val="1F2933"/>
                <w:sz w:val="19"/>
                <w:szCs w:val="19"/>
              </w:rPr>
              <w:t xml:space="preserve">Still pending. </w:t>
            </w:r>
            <w:r>
              <w:rPr>
                <w:rFonts w:ascii="Calibri" w:cs="Calibri" w:eastAsia="Calibri" w:hAnsi="Calibri"/>
                <w:b w:val="false"/>
                <w:bCs w:val="false"/>
                <w:i w:val="false"/>
                <w:iCs w:val="false"/>
                <w:color w:val="1F2933"/>
                <w:sz w:val="19"/>
                <w:szCs w:val="19"/>
              </w:rPr>
              <w:t xml:space="preserve">The wider EU Digital Omnibus proposals to amend the GDPR itself are still in the legislative process and are not yet law.</w:t>
            </w:r>
          </w:p>
        </w:tc>
      </w:tr>
    </w:tbl>
    <w:p>
      <w:pPr>
        <w:spacing w:after="160" w:before="0"/>
      </w:pPr>
      <w:r>
        <w:rPr>
          <w:rFonts w:ascii="Calibri" w:cs="Calibri" w:eastAsia="Calibri" w:hAnsi="Calibri"/>
          <w:b w:val="false"/>
          <w:bCs w:val="false"/>
          <w:i w:val="false"/>
          <w:iCs w:val="false"/>
          <w:color w:val="1F2933"/>
          <w:sz w:val="20"/>
          <w:szCs w:val="20"/>
        </w:rPr>
        <w:t xml:space="preserve"/>
      </w:r>
    </w:p>
    <w:p>
      <w:pPr>
        <w:pBdr>
          <w:bottom w:val="single" w:color="0F9B8E" w:sz="6" w:space="4"/>
        </w:pBdr>
        <w:spacing w:after="140" w:before="320"/>
      </w:pPr>
      <w:r>
        <w:rPr>
          <w:rFonts w:ascii="Calibri" w:cs="Calibri" w:eastAsia="Calibri" w:hAnsi="Calibri"/>
          <w:b/>
          <w:bCs/>
          <w:i w:val="false"/>
          <w:iCs w:val="false"/>
          <w:color w:val="0B6F66"/>
          <w:sz w:val="26"/>
          <w:szCs w:val="26"/>
        </w:rPr>
        <w:t xml:space="preserve">10.  References</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ISO/IEC 42001:2023 — Artificial Intelligence Management Systems.</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ISO/IEC 27001:2022 — Information Security Management.</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NIST AI Risk Management Framework (AI RMF 1.0, 2023; revision in progress 2026).</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EU AI Act — Regulation (EU) 2024/1689, as amended by the Digital Omnibus on AI (2026).</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GDPR — Regulation (EU) 2016/679.</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UK GDPR and Data Protection Act 2018, as amended by the Data (Use and Access) Act 2025.</w:t>
      </w:r>
    </w:p>
    <w:p>
      <w:pPr>
        <w:pStyle w:val="ListParagraph"/>
        <w:numPr>
          <w:ilvl w:val="0"/>
          <w:numId w:val="1"/>
        </w:numPr>
        <w:spacing w:after="40" w:before="40" w:line="260"/>
      </w:pPr>
      <w:r>
        <w:rPr>
          <w:rFonts w:ascii="Calibri" w:cs="Calibri" w:eastAsia="Calibri" w:hAnsi="Calibri"/>
          <w:b w:val="false"/>
          <w:bCs w:val="false"/>
          <w:i w:val="false"/>
          <w:iCs w:val="false"/>
          <w:color w:val="1F2933"/>
          <w:sz w:val="20"/>
          <w:szCs w:val="20"/>
        </w:rPr>
        <w:t xml:space="preserve">UK Privacy and Electronic Communications Regulations (PECR), as amended.</w:t>
      </w:r>
    </w:p>
    <w:p>
      <w:pPr>
        <w:spacing w:after="200" w:before="0"/>
      </w:pPr>
      <w:r>
        <w:rPr>
          <w:rFonts w:ascii="Calibri" w:cs="Calibri" w:eastAsia="Calibri" w:hAnsi="Calibri"/>
          <w:b w:val="false"/>
          <w:bCs w:val="false"/>
          <w:i w:val="false"/>
          <w:iCs w:val="false"/>
          <w:color w:val="1F2933"/>
          <w:sz w:val="20"/>
          <w:szCs w:val="20"/>
        </w:rPr>
        <w:t xml:space="preserve"/>
      </w:r>
    </w:p>
    <w:tbl>
      <w:tblPr>
        <w:tblW w:type="dxa" w:w="10080"/>
        <w:tblBorders>
          <w:top w:val="single" w:color="B7791F" w:sz="4"/>
          <w:left w:val="single" w:color="B7791F" w:sz="18"/>
          <w:bottom w:val="single" w:color="B7791F" w:sz="4"/>
          <w:right w:val="single" w:color="B7791F" w:sz="4"/>
          <w:insideH w:val="none" w:color="FFFFFF" w:sz="0"/>
          <w:insideV w:val="none" w:color="FFFFFF" w:sz="0"/>
        </w:tblBorders>
      </w:tblPr>
      <w:tblGrid>
        <w:gridCol w:w="10080"/>
      </w:tblGrid>
      <w:tr>
        <w:tc>
          <w:tcPr>
            <w:tcW w:type="dxa" w:w="10080"/>
            <w:shd w:fill="FFF6E5" w:color="auto" w:val="clear"/>
            <w:tcMar>
              <w:top w:type="dxa" w:w="160"/>
              <w:left w:type="dxa" w:w="200"/>
              <w:bottom w:type="dxa" w:w="160"/>
              <w:right w:type="dxa" w:w="200"/>
            </w:tcMar>
          </w:tcPr>
          <w:p>
            <w:pPr>
              <w:spacing w:after="100" w:before="0" w:line="260"/>
            </w:pPr>
            <w:r>
              <w:rPr>
                <w:rFonts w:ascii="Calibri" w:cs="Calibri" w:eastAsia="Calibri" w:hAnsi="Calibri"/>
                <w:b/>
                <w:bCs/>
                <w:i w:val="false"/>
                <w:iCs w:val="false"/>
                <w:color w:val="B7791F"/>
                <w:sz w:val="22"/>
                <w:szCs w:val="22"/>
              </w:rPr>
              <w:t xml:space="preserve">Important</w:t>
            </w:r>
          </w:p>
          <w:p>
            <w:pPr>
              <w:spacing w:after="80" w:before="0" w:line="260"/>
            </w:pPr>
            <w:r>
              <w:rPr>
                <w:rFonts w:ascii="Calibri" w:cs="Calibri" w:eastAsia="Calibri" w:hAnsi="Calibri"/>
                <w:b w:val="false"/>
                <w:bCs w:val="false"/>
                <w:i w:val="false"/>
                <w:iCs w:val="false"/>
                <w:color w:val="1F2933"/>
                <w:sz w:val="19"/>
                <w:szCs w:val="19"/>
              </w:rPr>
              <w:t xml:space="preserve">This template is provided as operational best practice, not legal advice. Laws differ by country and sector, and the EU timetable above only takes full legal effect on publication in the Official Journal. Have your final policy reviewed by a qualified legal professional before you rely on it.</w:t>
            </w:r>
          </w:p>
        </w:tc>
      </w:tr>
    </w:tbl>
    <w:sectPr>
      <w:headerReference w:type="default" r:id="rId7"/>
      <w:footerReference w:type="default" r:id="rId8"/>
      <w:pgSz w:w="12240" w:h="15840" w:orient="portrait"/>
      <w:pgMar w:top="1300" w:right="1080" w:bottom="1100" w:left="1080" w:header="480" w:footer="38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9B809" w:sz="12" w:space="6"/>
      </w:pBdr>
      <w:spacing w:after="0" w:before="0"/>
    </w:pPr>
    <w:r>
      <w:rPr>
        <w:rFonts w:ascii="Calibri" w:cs="Calibri" w:eastAsia="Calibri" w:hAnsi="Calibri"/>
        <w:b w:val="false"/>
        <w:bCs w:val="false"/>
        <w:i w:val="false"/>
        <w:iCs w:val="false"/>
        <w:color w:val="1F2933"/>
        <w:sz w:val="20"/>
        <w:szCs w:val="20"/>
      </w:rPr>
      <w:t xml:space="preserve"/>
    </w:r>
  </w:p>
  <w:p>
    <w:pPr>
      <w:spacing w:after="0" w:before="60"/>
      <w:jc w:val="center"/>
    </w:pPr>
    <w:r>
      <w:rPr>
        <w:rFonts w:ascii="Calibri" w:cs="Calibri" w:eastAsia="Calibri" w:hAnsi="Calibri"/>
        <w:b w:val="false"/>
        <w:bCs w:val="false"/>
        <w:i w:val="false"/>
        <w:iCs w:val="false"/>
        <w:color w:val="666666"/>
        <w:sz w:val="16"/>
        <w:szCs w:val="16"/>
      </w:rPr>
      <w:t xml:space="preserve">safeaiforbusiness.com  ·  Practical AI governance for SMEs  ·  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80"/>
      <w:tblBorders>
        <w:top w:val="none" w:color="FFFFFF" w:sz="0"/>
        <w:left w:val="none" w:color="FFFFFF" w:sz="0"/>
        <w:bottom w:val="none" w:color="FFFFFF" w:sz="0"/>
        <w:right w:val="none" w:color="FFFFFF" w:sz="0"/>
        <w:insideH w:val="none" w:color="FFFFFF" w:sz="0"/>
        <w:insideV w:val="none" w:color="FFFFFF" w:sz="0"/>
      </w:tblBorders>
    </w:tblPr>
    <w:tblGrid>
      <w:gridCol w:w="900"/>
      <w:gridCol w:w="9180"/>
    </w:tblGrid>
    <w:tr>
      <w:tc>
        <w:tcPr>
          <w:tcW w:type="dxa" w:w="900"/>
          <w:tcMar>
            <w:top w:type="dxa" w:w="80"/>
            <w:left w:type="dxa" w:w="120"/>
            <w:bottom w:type="dxa" w:w="80"/>
            <w:right w:type="dxa" w:w="120"/>
          </w:tcMar>
          <w:vAlign w:val="center"/>
        </w:tcPr>
        <w:p>
          <w:pPr>
            <w:spacing w:after="0"/>
          </w:pPr>
          <w:r>
            <w:drawing>
              <wp:inline distT="0" distB="0" distL="0" distR="0">
                <wp:extent cx="400050" cy="4000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400050" cy="400050"/>
                        </a:xfrm>
                        <a:prstGeom prst="rect">
                          <a:avLst/>
                        </a:prstGeom>
                      </pic:spPr>
                    </pic:pic>
                  </a:graphicData>
                </a:graphic>
              </wp:inline>
            </w:drawing>
          </w:r>
        </w:p>
      </w:tc>
      <w:tc>
        <w:tcPr>
          <w:tcW w:type="dxa" w:w="9180"/>
          <w:tcMar>
            <w:top w:type="dxa" w:w="80"/>
            <w:left w:type="dxa" w:w="120"/>
            <w:bottom w:type="dxa" w:w="80"/>
            <w:right w:type="dxa" w:w="120"/>
          </w:tcMar>
          <w:vAlign w:val="center"/>
        </w:tcPr>
        <w:p>
          <w:pPr>
            <w:spacing w:after="0" w:before="0" w:line="260"/>
            <w:jc w:val="right"/>
          </w:pPr>
          <w:r>
            <w:rPr>
              <w:rFonts w:ascii="Calibri" w:cs="Calibri" w:eastAsia="Calibri" w:hAnsi="Calibri"/>
              <w:b/>
              <w:bCs/>
              <w:i w:val="false"/>
              <w:iCs w:val="false"/>
              <w:color w:val="666666"/>
              <w:sz w:val="19"/>
              <w:szCs w:val="19"/>
            </w:rPr>
            <w:t xml:space="preserve">SafeAI for Business</w:t>
          </w:r>
        </w:p>
        <w:p>
          <w:pPr>
            <w:spacing w:after="0" w:before="0" w:line="260"/>
            <w:jc w:val="right"/>
          </w:pPr>
          <w:r>
            <w:rPr>
              <w:rFonts w:ascii="Calibri" w:cs="Calibri" w:eastAsia="Calibri" w:hAnsi="Calibri"/>
              <w:b w:val="false"/>
              <w:bCs w:val="false"/>
              <w:i w:val="false"/>
              <w:iCs w:val="false"/>
              <w:color w:val="666666"/>
              <w:sz w:val="17"/>
              <w:szCs w:val="17"/>
            </w:rPr>
            <w:t xml:space="preserve">Version 2.0  ·  July 2026</w:t>
          </w:r>
        </w:p>
      </w:tc>
    </w:tr>
  </w:tbl>
  <w:p>
    <w:pPr>
      <w:pBdr>
        <w:bottom w:val="single" w:color="09B809" w:sz="12" w:space="1"/>
      </w:pBdr>
      <w:spacing w:after="0" w:before="60"/>
    </w:pPr>
    <w:r>
      <w:rPr>
        <w:rFonts w:ascii="Calibri" w:cs="Calibri" w:eastAsia="Calibri" w:hAnsi="Calibri"/>
        <w:b w:val="false"/>
        <w:bCs w:val="false"/>
        <w:i w:val="false"/>
        <w:iCs w:val="false"/>
        <w:color w:val="1F2933"/>
        <w:sz w:val="20"/>
        <w:szCs w:val="20"/>
      </w:rP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lvl>
    <w:lvl w:ilvl="1" w15:tentative="1">
      <w:start w:val="1"/>
      <w:numFmt w:val="bullet"/>
      <w:lvlText w:val="◦"/>
      <w:lvlJc w:val="left"/>
      <w:pPr>
        <w:ind w:left="720" w:hanging="24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3"/>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f0692b168def25e93f7e679f24bbea64e324689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2026-07-23T04:19:15.207Z</dcterms:created>
  <dcterms:modified xsi:type="dcterms:W3CDTF">2026-07-23T04:19:15.207Z</dcterms:modified>
</cp:coreProperties>
</file>

<file path=docProps/custom.xml><?xml version="1.0" encoding="utf-8"?>
<Properties xmlns="http://schemas.openxmlformats.org/officeDocument/2006/custom-properties" xmlns:vt="http://schemas.openxmlformats.org/officeDocument/2006/docPropsVTypes"/>
</file>